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南京金栖化工集团有限公司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6月监测数据公示</w:t>
      </w:r>
    </w:p>
    <w:p>
      <w:r>
        <w:drawing>
          <wp:inline distT="0" distB="0" distL="114300" distR="114300">
            <wp:extent cx="8796020" cy="427609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6020" cy="427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3170" cy="4138930"/>
            <wp:effectExtent l="0" t="0" r="50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138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3170" cy="2867025"/>
            <wp:effectExtent l="0" t="0" r="50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3330" cy="4152900"/>
            <wp:effectExtent l="0" t="0" r="139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8853170" cy="3858260"/>
            <wp:effectExtent l="0" t="0" r="508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8863330" cy="3453130"/>
            <wp:effectExtent l="0" t="0" r="1397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2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2018-07-04T05:34:02Z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